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A7" w:rsidRPr="008D3A33" w:rsidRDefault="00925DA7" w:rsidP="00FD2E4F">
      <w:pPr>
        <w:autoSpaceDE w:val="0"/>
        <w:autoSpaceDN w:val="0"/>
        <w:adjustRightInd w:val="0"/>
        <w:spacing w:after="0" w:line="240" w:lineRule="auto"/>
        <w:rPr>
          <w:rFonts w:eastAsiaTheme="majorEastAsia" w:cstheme="majorBidi"/>
          <w:b/>
          <w:bCs/>
          <w:i/>
          <w:iCs/>
          <w:smallCaps/>
          <w:color w:val="1F497D" w:themeColor="text2"/>
          <w:kern w:val="24"/>
          <w:position w:val="1"/>
          <w:sz w:val="36"/>
          <w:szCs w:val="36"/>
        </w:rPr>
      </w:pPr>
      <w:r w:rsidRPr="008D3A33">
        <w:rPr>
          <w:rFonts w:eastAsiaTheme="majorEastAsia" w:cstheme="majorBidi"/>
          <w:b/>
          <w:bCs/>
          <w:i/>
          <w:iCs/>
          <w:smallCaps/>
          <w:color w:val="1F497D" w:themeColor="text2"/>
          <w:kern w:val="24"/>
          <w:position w:val="1"/>
          <w:sz w:val="36"/>
          <w:szCs w:val="36"/>
        </w:rPr>
        <w:t xml:space="preserve">Ignite and Play – </w:t>
      </w:r>
    </w:p>
    <w:p w:rsidR="001D7475" w:rsidRPr="008D3A33" w:rsidRDefault="00925DA7" w:rsidP="00FD2E4F">
      <w:pPr>
        <w:autoSpaceDE w:val="0"/>
        <w:autoSpaceDN w:val="0"/>
        <w:adjustRightInd w:val="0"/>
        <w:spacing w:after="0" w:line="240" w:lineRule="auto"/>
        <w:rPr>
          <w:rFonts w:eastAsiaTheme="majorEastAsia" w:cstheme="majorBidi"/>
          <w:b/>
          <w:bCs/>
          <w:i/>
          <w:iCs/>
          <w:smallCaps/>
          <w:color w:val="1F497D" w:themeColor="text2"/>
          <w:kern w:val="24"/>
          <w:position w:val="1"/>
          <w:sz w:val="36"/>
          <w:szCs w:val="36"/>
        </w:rPr>
      </w:pPr>
      <w:r w:rsidRPr="008D3A33">
        <w:rPr>
          <w:rFonts w:eastAsiaTheme="majorEastAsia" w:cstheme="majorBidi"/>
          <w:b/>
          <w:bCs/>
          <w:i/>
          <w:iCs/>
          <w:smallCaps/>
          <w:color w:val="1F497D" w:themeColor="text2"/>
          <w:kern w:val="24"/>
          <w:position w:val="1"/>
          <w:sz w:val="36"/>
          <w:szCs w:val="36"/>
        </w:rPr>
        <w:t>Thinking in a Gaming Habit of Mind</w:t>
      </w:r>
    </w:p>
    <w:p w:rsidR="00925DA7" w:rsidRPr="008D3A33" w:rsidRDefault="00925DA7" w:rsidP="00925DA7">
      <w:pPr>
        <w:spacing w:after="0" w:line="240" w:lineRule="auto"/>
        <w:rPr>
          <w:rFonts w:eastAsiaTheme="minorEastAsia"/>
          <w:b/>
          <w:bCs/>
          <w:color w:val="000000" w:themeColor="text1"/>
          <w:kern w:val="24"/>
        </w:rPr>
      </w:pPr>
    </w:p>
    <w:p w:rsidR="00925DA7" w:rsidRPr="00925DA7" w:rsidRDefault="00925DA7" w:rsidP="00925DA7">
      <w:pPr>
        <w:spacing w:after="0" w:line="240" w:lineRule="auto"/>
        <w:rPr>
          <w:rFonts w:eastAsia="Times New Roman" w:cs="Times New Roman"/>
          <w:color w:val="000000" w:themeColor="text1"/>
          <w:sz w:val="28"/>
          <w:szCs w:val="28"/>
        </w:rPr>
      </w:pPr>
      <w:r w:rsidRPr="00925DA7">
        <w:rPr>
          <w:rFonts w:eastAsiaTheme="minorEastAsia"/>
          <w:bCs/>
          <w:color w:val="000000" w:themeColor="text1"/>
          <w:kern w:val="24"/>
          <w:sz w:val="28"/>
          <w:szCs w:val="28"/>
        </w:rPr>
        <w:t>Maureen Fitzpatrick</w:t>
      </w:r>
    </w:p>
    <w:p w:rsidR="00925DA7" w:rsidRPr="00925DA7" w:rsidRDefault="00925DA7" w:rsidP="00925DA7">
      <w:pPr>
        <w:spacing w:after="0" w:line="240" w:lineRule="auto"/>
        <w:rPr>
          <w:rFonts w:eastAsia="Times New Roman" w:cs="Times New Roman"/>
          <w:color w:val="000000" w:themeColor="text1"/>
          <w:sz w:val="28"/>
          <w:szCs w:val="28"/>
        </w:rPr>
      </w:pPr>
      <w:r w:rsidRPr="00925DA7">
        <w:rPr>
          <w:rFonts w:eastAsiaTheme="minorEastAsia"/>
          <w:bCs/>
          <w:color w:val="000000" w:themeColor="text1"/>
          <w:kern w:val="24"/>
          <w:sz w:val="28"/>
          <w:szCs w:val="28"/>
        </w:rPr>
        <w:t>Johnson County Community College</w:t>
      </w:r>
    </w:p>
    <w:p w:rsidR="00925DA7" w:rsidRPr="00925DA7" w:rsidRDefault="00925DA7" w:rsidP="00925DA7">
      <w:pPr>
        <w:spacing w:after="0" w:line="240" w:lineRule="auto"/>
        <w:rPr>
          <w:rFonts w:eastAsia="Times New Roman" w:cs="Times New Roman"/>
          <w:color w:val="000000" w:themeColor="text1"/>
          <w:sz w:val="28"/>
          <w:szCs w:val="28"/>
        </w:rPr>
      </w:pPr>
      <w:r w:rsidRPr="00925DA7">
        <w:rPr>
          <w:rFonts w:eastAsiaTheme="minorEastAsia"/>
          <w:bCs/>
          <w:color w:val="000000" w:themeColor="text1"/>
          <w:kern w:val="24"/>
          <w:sz w:val="28"/>
          <w:szCs w:val="28"/>
        </w:rPr>
        <w:t>mfitzpat@jccc.edu</w:t>
      </w:r>
    </w:p>
    <w:p w:rsidR="00925DA7" w:rsidRPr="008D3A33" w:rsidRDefault="00925DA7" w:rsidP="00925DA7">
      <w:pPr>
        <w:pStyle w:val="NormalWeb"/>
        <w:spacing w:before="120" w:beforeAutospacing="0" w:after="0" w:afterAutospacing="0"/>
        <w:rPr>
          <w:rFonts w:asciiTheme="minorHAnsi" w:hAnsiTheme="minorHAnsi"/>
          <w:sz w:val="28"/>
          <w:szCs w:val="28"/>
        </w:rPr>
      </w:pPr>
      <w:hyperlink r:id="rId6" w:history="1">
        <w:r w:rsidRPr="008D3A33">
          <w:rPr>
            <w:rStyle w:val="Hyperlink"/>
            <w:rFonts w:asciiTheme="minorHAnsi" w:eastAsiaTheme="minorEastAsia" w:hAnsiTheme="minorHAnsi" w:cstheme="minorBidi"/>
            <w:color w:val="000000" w:themeColor="text1"/>
            <w:kern w:val="24"/>
            <w:sz w:val="28"/>
            <w:szCs w:val="28"/>
          </w:rPr>
          <w:t>https://sites.google.com/a/stumail.jccc.edu/frameworkgamified/</w:t>
        </w:r>
      </w:hyperlink>
    </w:p>
    <w:p w:rsidR="00925DA7" w:rsidRPr="008D3A33" w:rsidRDefault="00925DA7" w:rsidP="00FD2E4F">
      <w:pPr>
        <w:autoSpaceDE w:val="0"/>
        <w:autoSpaceDN w:val="0"/>
        <w:adjustRightInd w:val="0"/>
        <w:spacing w:after="0" w:line="240" w:lineRule="auto"/>
        <w:rPr>
          <w:rFonts w:eastAsiaTheme="majorEastAsia" w:cstheme="majorBidi"/>
          <w:b/>
          <w:bCs/>
          <w:i/>
          <w:iCs/>
          <w:smallCaps/>
          <w:color w:val="1F497D" w:themeColor="text2"/>
          <w:kern w:val="24"/>
          <w:position w:val="1"/>
        </w:rPr>
      </w:pPr>
      <w:r w:rsidRPr="008D3A33">
        <w:rPr>
          <w:rFonts w:eastAsiaTheme="majorEastAsia" w:cstheme="majorBidi"/>
          <w:b/>
          <w:bCs/>
          <w:i/>
          <w:iCs/>
          <w:smallCaps/>
          <w:noProof/>
          <w:color w:val="1F497D" w:themeColor="text2"/>
          <w:kern w:val="24"/>
          <w:position w:val="1"/>
        </w:rPr>
        <mc:AlternateContent>
          <mc:Choice Requires="wps">
            <w:drawing>
              <wp:anchor distT="0" distB="0" distL="114300" distR="114300" simplePos="0" relativeHeight="251659264" behindDoc="0" locked="0" layoutInCell="1" allowOverlap="1" wp14:anchorId="16BDD027" wp14:editId="0AE71487">
                <wp:simplePos x="0" y="0"/>
                <wp:positionH relativeFrom="column">
                  <wp:posOffset>-25880</wp:posOffset>
                </wp:positionH>
                <wp:positionV relativeFrom="paragraph">
                  <wp:posOffset>119703</wp:posOffset>
                </wp:positionV>
                <wp:extent cx="5753819" cy="43133"/>
                <wp:effectExtent l="0" t="0" r="18415" b="33655"/>
                <wp:wrapNone/>
                <wp:docPr id="1" name="Straight Connector 1"/>
                <wp:cNvGraphicFramePr/>
                <a:graphic xmlns:a="http://schemas.openxmlformats.org/drawingml/2006/main">
                  <a:graphicData uri="http://schemas.microsoft.com/office/word/2010/wordprocessingShape">
                    <wps:wsp>
                      <wps:cNvCnPr/>
                      <wps:spPr>
                        <a:xfrm flipV="1">
                          <a:off x="0" y="0"/>
                          <a:ext cx="5753819" cy="431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5pt,9.45pt" to="45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" strokecolor="#4579b8 [3044]"/>
            </w:pict>
          </mc:Fallback>
        </mc:AlternateContent>
      </w:r>
    </w:p>
    <w:p w:rsidR="001D7475" w:rsidRPr="008D3A33" w:rsidRDefault="001D7475" w:rsidP="00FD2E4F">
      <w:pPr>
        <w:autoSpaceDE w:val="0"/>
        <w:autoSpaceDN w:val="0"/>
        <w:adjustRightInd w:val="0"/>
        <w:spacing w:after="0" w:line="240" w:lineRule="auto"/>
        <w:rPr>
          <w:rFonts w:cs="Bembo"/>
          <w:color w:val="231F20"/>
        </w:rPr>
      </w:pPr>
    </w:p>
    <w:p w:rsidR="00FD2E4F" w:rsidRPr="008D3A33" w:rsidRDefault="00FD2E4F" w:rsidP="00FD2E4F">
      <w:pPr>
        <w:autoSpaceDE w:val="0"/>
        <w:autoSpaceDN w:val="0"/>
        <w:adjustRightInd w:val="0"/>
        <w:spacing w:after="0" w:line="240" w:lineRule="auto"/>
        <w:rPr>
          <w:rFonts w:cs="Bembo"/>
          <w:b/>
          <w:color w:val="231F20"/>
          <w:u w:val="single"/>
        </w:rPr>
      </w:pPr>
      <w:r w:rsidRPr="008D3A33">
        <w:rPr>
          <w:rFonts w:cs="Bembo"/>
          <w:b/>
          <w:color w:val="231F20"/>
          <w:u w:val="single"/>
        </w:rPr>
        <w:t xml:space="preserve">Henry </w:t>
      </w:r>
      <w:proofErr w:type="spellStart"/>
      <w:r w:rsidRPr="008D3A33">
        <w:rPr>
          <w:rFonts w:cs="Bembo"/>
          <w:b/>
          <w:color w:val="231F20"/>
          <w:u w:val="single"/>
        </w:rPr>
        <w:t>Jenkin’s</w:t>
      </w:r>
      <w:proofErr w:type="spellEnd"/>
      <w:r w:rsidRPr="008D3A33">
        <w:rPr>
          <w:rFonts w:cs="Bembo"/>
          <w:b/>
          <w:color w:val="231F20"/>
          <w:u w:val="single"/>
        </w:rPr>
        <w:t xml:space="preserve"> Skills for Participatory Culture</w:t>
      </w:r>
    </w:p>
    <w:p w:rsidR="00FD2E4F" w:rsidRPr="008D3A33" w:rsidRDefault="00FD2E4F" w:rsidP="00FD2E4F">
      <w:pPr>
        <w:autoSpaceDE w:val="0"/>
        <w:autoSpaceDN w:val="0"/>
        <w:adjustRightInd w:val="0"/>
        <w:spacing w:after="0" w:line="240" w:lineRule="auto"/>
        <w:rPr>
          <w:rFonts w:cs="Bembo"/>
          <w:color w:val="231F20"/>
        </w:rPr>
      </w:pPr>
    </w:p>
    <w:p w:rsidR="00FD2E4F" w:rsidRPr="008D3A33" w:rsidRDefault="00FD2E4F" w:rsidP="00FD2E4F">
      <w:pPr>
        <w:autoSpaceDE w:val="0"/>
        <w:autoSpaceDN w:val="0"/>
        <w:adjustRightInd w:val="0"/>
        <w:spacing w:after="0" w:line="240" w:lineRule="auto"/>
        <w:rPr>
          <w:rFonts w:cs="Bembo"/>
          <w:color w:val="231F20"/>
        </w:rPr>
      </w:pPr>
      <w:r w:rsidRPr="008D3A33">
        <w:rPr>
          <w:rFonts w:cs="Bembo"/>
          <w:color w:val="231F20"/>
        </w:rPr>
        <w:t>The new skills include:</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Play </w:t>
      </w:r>
      <w:r w:rsidRPr="008D3A33">
        <w:rPr>
          <w:rFonts w:cs="Arial"/>
          <w:color w:val="231F20"/>
        </w:rPr>
        <w:t>— the capacity to experiment with one’s surroundings as a form of problem-solving</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Performance </w:t>
      </w:r>
      <w:r w:rsidRPr="008D3A33">
        <w:rPr>
          <w:rFonts w:cs="Arial"/>
          <w:color w:val="231F20"/>
        </w:rPr>
        <w:t>— the ability to adopt alternative identities for the purpose of improvisation and discovery</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Simulation </w:t>
      </w:r>
      <w:r w:rsidRPr="008D3A33">
        <w:rPr>
          <w:rFonts w:cs="Arial"/>
          <w:color w:val="231F20"/>
        </w:rPr>
        <w:t>— the ability to interpret and construct dynamic models of real-world processes</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Appropriation </w:t>
      </w:r>
      <w:r w:rsidRPr="008D3A33">
        <w:rPr>
          <w:rFonts w:cs="Arial"/>
          <w:color w:val="231F20"/>
        </w:rPr>
        <w:t>— the ability to meaningfully sample and remix media content</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Multitasking </w:t>
      </w:r>
      <w:r w:rsidRPr="008D3A33">
        <w:rPr>
          <w:rFonts w:cs="Arial"/>
          <w:color w:val="231F20"/>
        </w:rPr>
        <w:t>— the ability to scan one’s environment and shift focus as needed to salient details.</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Distributed Cognition </w:t>
      </w:r>
      <w:r w:rsidRPr="008D3A33">
        <w:rPr>
          <w:rFonts w:cs="Arial"/>
          <w:color w:val="231F20"/>
        </w:rPr>
        <w:t>— the ability to interact meaningfully with tools that expand mental capacities</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Collective Intelligence </w:t>
      </w:r>
      <w:r w:rsidRPr="008D3A33">
        <w:rPr>
          <w:rFonts w:cs="Arial"/>
          <w:color w:val="231F20"/>
        </w:rPr>
        <w:t xml:space="preserve">— the ability to pool knowledge and compare notes with others toward a common goal </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Judgment </w:t>
      </w:r>
      <w:r w:rsidRPr="008D3A33">
        <w:rPr>
          <w:rFonts w:cs="Arial"/>
          <w:color w:val="231F20"/>
        </w:rPr>
        <w:t>— the ability to evaluate the reliability and credibility of different information sources</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proofErr w:type="spellStart"/>
      <w:r w:rsidRPr="008D3A33">
        <w:rPr>
          <w:rFonts w:cs="Arial"/>
          <w:b/>
          <w:bCs/>
          <w:color w:val="231F20"/>
        </w:rPr>
        <w:t>Transmedia</w:t>
      </w:r>
      <w:proofErr w:type="spellEnd"/>
      <w:r w:rsidRPr="008D3A33">
        <w:rPr>
          <w:rFonts w:cs="Arial"/>
          <w:b/>
          <w:bCs/>
          <w:color w:val="231F20"/>
        </w:rPr>
        <w:t xml:space="preserve"> Navigation </w:t>
      </w:r>
      <w:r w:rsidRPr="008D3A33">
        <w:rPr>
          <w:rFonts w:cs="Arial"/>
          <w:color w:val="231F20"/>
        </w:rPr>
        <w:t>— the ability to follow the flow of stories and information across multiple modalities</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Networking </w:t>
      </w:r>
      <w:r w:rsidRPr="008D3A33">
        <w:rPr>
          <w:rFonts w:cs="Arial"/>
          <w:color w:val="231F20"/>
        </w:rPr>
        <w:t>— the ability to search for, synthesize, and disseminate information</w:t>
      </w:r>
    </w:p>
    <w:p w:rsidR="00FD2E4F" w:rsidRPr="008D3A33" w:rsidRDefault="00FD2E4F" w:rsidP="00FD2E4F">
      <w:pPr>
        <w:pStyle w:val="ListParagraph"/>
        <w:numPr>
          <w:ilvl w:val="0"/>
          <w:numId w:val="1"/>
        </w:numPr>
        <w:autoSpaceDE w:val="0"/>
        <w:autoSpaceDN w:val="0"/>
        <w:adjustRightInd w:val="0"/>
        <w:spacing w:after="0" w:line="240" w:lineRule="auto"/>
        <w:rPr>
          <w:rFonts w:cs="Arial"/>
          <w:color w:val="231F20"/>
        </w:rPr>
      </w:pPr>
      <w:r w:rsidRPr="008D3A33">
        <w:rPr>
          <w:rFonts w:cs="Arial"/>
          <w:b/>
          <w:bCs/>
          <w:color w:val="231F20"/>
        </w:rPr>
        <w:t xml:space="preserve">Negotiation </w:t>
      </w:r>
      <w:r w:rsidRPr="008D3A33">
        <w:rPr>
          <w:rFonts w:cs="Arial"/>
          <w:color w:val="231F20"/>
        </w:rPr>
        <w:t>— the ability to travel across diverse communities, discerning and respecting multiple perspectives</w:t>
      </w:r>
      <w:r w:rsidRPr="008D3A33">
        <w:rPr>
          <w:rFonts w:cs="Arial"/>
          <w:color w:val="231F20"/>
        </w:rPr>
        <w:br w:type="page"/>
      </w:r>
    </w:p>
    <w:p w:rsidR="001E16DF" w:rsidRPr="008D3A33" w:rsidRDefault="00FD2E4F" w:rsidP="00FD2E4F">
      <w:pPr>
        <w:autoSpaceDE w:val="0"/>
        <w:autoSpaceDN w:val="0"/>
        <w:adjustRightInd w:val="0"/>
        <w:spacing w:after="0" w:line="240" w:lineRule="auto"/>
        <w:rPr>
          <w:color w:val="014B64"/>
        </w:rPr>
      </w:pPr>
      <w:r w:rsidRPr="008D3A33">
        <w:rPr>
          <w:color w:val="014B64"/>
        </w:rPr>
        <w:lastRenderedPageBreak/>
        <w:t>Framework for Success in Postsecondary Writing</w:t>
      </w:r>
    </w:p>
    <w:p w:rsidR="00FD2E4F" w:rsidRPr="008D3A33" w:rsidRDefault="00FD2E4F" w:rsidP="00FD2E4F">
      <w:pPr>
        <w:autoSpaceDE w:val="0"/>
        <w:autoSpaceDN w:val="0"/>
        <w:adjustRightInd w:val="0"/>
        <w:spacing w:after="0" w:line="240" w:lineRule="auto"/>
        <w:rPr>
          <w:rFonts w:cs="Arial"/>
        </w:rPr>
      </w:pPr>
    </w:p>
    <w:p w:rsidR="00FD2E4F" w:rsidRPr="008D3A33" w:rsidRDefault="00FD2E4F" w:rsidP="00FD2E4F">
      <w:pPr>
        <w:shd w:val="clear" w:color="auto" w:fill="FFFFFF"/>
        <w:spacing w:after="150" w:line="300" w:lineRule="auto"/>
        <w:outlineLvl w:val="2"/>
        <w:rPr>
          <w:rFonts w:eastAsia="Times New Roman" w:cs="Times New Roman"/>
          <w:b/>
          <w:bCs/>
          <w:color w:val="334A5B"/>
          <w:spacing w:val="-5"/>
        </w:rPr>
      </w:pPr>
      <w:r w:rsidRPr="008D3A33">
        <w:rPr>
          <w:rFonts w:eastAsia="Times New Roman" w:cs="Times New Roman"/>
          <w:b/>
          <w:bCs/>
          <w:color w:val="334A5B"/>
          <w:spacing w:val="-5"/>
        </w:rPr>
        <w:t>Executive Summary</w:t>
      </w:r>
    </w:p>
    <w:p w:rsidR="00FD2E4F" w:rsidRPr="008D3A33" w:rsidRDefault="00FD2E4F" w:rsidP="00FD2E4F">
      <w:pPr>
        <w:shd w:val="clear" w:color="auto" w:fill="FFFFFF"/>
        <w:spacing w:before="120" w:after="120" w:line="240" w:lineRule="auto"/>
        <w:rPr>
          <w:rFonts w:eastAsia="Times New Roman" w:cs="Times New Roman"/>
          <w:color w:val="333333"/>
        </w:rPr>
      </w:pPr>
      <w:r w:rsidRPr="008D3A33">
        <w:rPr>
          <w:rFonts w:eastAsia="Times New Roman" w:cs="Times New Roman"/>
          <w:color w:val="333333"/>
        </w:rPr>
        <w:t>The concept of “college readiness” is increasingly important in discussions about students’ preparation for postsecondary education.</w:t>
      </w:r>
    </w:p>
    <w:p w:rsidR="00FD2E4F" w:rsidRPr="008D3A33" w:rsidRDefault="00FD2E4F" w:rsidP="00FD2E4F">
      <w:pPr>
        <w:shd w:val="clear" w:color="auto" w:fill="FFFFFF"/>
        <w:spacing w:before="120" w:after="120" w:line="240" w:lineRule="auto"/>
        <w:rPr>
          <w:rFonts w:eastAsia="Times New Roman" w:cs="Times New Roman"/>
          <w:color w:val="333333"/>
        </w:rPr>
      </w:pPr>
      <w:r w:rsidRPr="008D3A33">
        <w:rPr>
          <w:rFonts w:eastAsia="Times New Roman" w:cs="Times New Roman"/>
          <w:color w:val="333333"/>
        </w:rPr>
        <w:t>This Framework describes the rhetorical and twenty-first-century skills as well as habits of mind and experiences that are critical for college success. Based in current research in writing and writing pedagogy, the Framework was written and reviewed by two- and four-year college and high school writing faculty nationwide and is endorsed by the Council of Writing Program Administrators, the National Council of Teachers of English, and the National Writing Project.</w:t>
      </w:r>
    </w:p>
    <w:p w:rsidR="00FD2E4F" w:rsidRPr="008D3A33" w:rsidRDefault="00FD2E4F" w:rsidP="00FD2E4F">
      <w:pPr>
        <w:shd w:val="clear" w:color="auto" w:fill="FFFFFF"/>
        <w:spacing w:before="120" w:after="120" w:line="240" w:lineRule="auto"/>
        <w:rPr>
          <w:rFonts w:eastAsia="Times New Roman" w:cs="Times New Roman"/>
          <w:color w:val="333333"/>
        </w:rPr>
      </w:pPr>
      <w:r w:rsidRPr="008D3A33">
        <w:rPr>
          <w:rFonts w:eastAsia="Times New Roman" w:cs="Times New Roman"/>
          <w:b/>
          <w:bCs/>
          <w:color w:val="333333"/>
        </w:rPr>
        <w:t>Habits of mind</w:t>
      </w:r>
      <w:r w:rsidRPr="008D3A33">
        <w:rPr>
          <w:rFonts w:eastAsia="Times New Roman" w:cs="Times New Roman"/>
          <w:color w:val="333333"/>
        </w:rPr>
        <w:t xml:space="preserve"> refers to ways of approaching learning that are both intellectual and practical and that will support students’ success in a variety of fields and disciplines. The Framework identifies eight habits of mind essential for success in college writing:</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Curiosity</w:t>
      </w:r>
      <w:r w:rsidRPr="008D3A33">
        <w:rPr>
          <w:rFonts w:eastAsia="Times New Roman" w:cs="Times New Roman"/>
          <w:color w:val="333333"/>
        </w:rPr>
        <w:t xml:space="preserve"> – the desire to know more about the world.</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Openness</w:t>
      </w:r>
      <w:r w:rsidRPr="008D3A33">
        <w:rPr>
          <w:rFonts w:eastAsia="Times New Roman" w:cs="Times New Roman"/>
          <w:color w:val="333333"/>
        </w:rPr>
        <w:t xml:space="preserve"> – the willingness to consider new ways of being and thinking in the world.</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Engagement</w:t>
      </w:r>
      <w:r w:rsidRPr="008D3A33">
        <w:rPr>
          <w:rFonts w:eastAsia="Times New Roman" w:cs="Times New Roman"/>
          <w:color w:val="333333"/>
        </w:rPr>
        <w:t xml:space="preserve"> – a sense of investment and involvement in learning.</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Creativity</w:t>
      </w:r>
      <w:r w:rsidRPr="008D3A33">
        <w:rPr>
          <w:rFonts w:eastAsia="Times New Roman" w:cs="Times New Roman"/>
          <w:color w:val="333333"/>
        </w:rPr>
        <w:t xml:space="preserve"> – the ability to use novel approaches for generating, investigating, and representing ideas.</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Persistence</w:t>
      </w:r>
      <w:r w:rsidRPr="008D3A33">
        <w:rPr>
          <w:rFonts w:eastAsia="Times New Roman" w:cs="Times New Roman"/>
          <w:color w:val="333333"/>
        </w:rPr>
        <w:t xml:space="preserve"> – the ability to sustain interest in and attention to short- and long-term projects.</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Responsibility</w:t>
      </w:r>
      <w:r w:rsidRPr="008D3A33">
        <w:rPr>
          <w:rFonts w:eastAsia="Times New Roman" w:cs="Times New Roman"/>
          <w:color w:val="333333"/>
        </w:rPr>
        <w:t xml:space="preserve"> – the ability to take ownership of one’s actions and understand the consequences of those actions for oneself and others.</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Flexibility</w:t>
      </w:r>
      <w:r w:rsidRPr="008D3A33">
        <w:rPr>
          <w:rFonts w:eastAsia="Times New Roman" w:cs="Times New Roman"/>
          <w:color w:val="333333"/>
        </w:rPr>
        <w:t xml:space="preserve"> – the ability to adapt to situations, expectations, or demands.</w:t>
      </w:r>
    </w:p>
    <w:p w:rsidR="00FD2E4F" w:rsidRPr="008D3A33" w:rsidRDefault="00FD2E4F" w:rsidP="00FD2E4F">
      <w:pPr>
        <w:numPr>
          <w:ilvl w:val="0"/>
          <w:numId w:val="2"/>
        </w:numPr>
        <w:shd w:val="clear" w:color="auto" w:fill="FFFFFF"/>
        <w:spacing w:before="100" w:beforeAutospacing="1" w:after="120" w:line="240" w:lineRule="auto"/>
        <w:ind w:left="950"/>
        <w:rPr>
          <w:rFonts w:eastAsia="Times New Roman" w:cs="Times New Roman"/>
          <w:color w:val="333333"/>
        </w:rPr>
      </w:pPr>
      <w:r w:rsidRPr="008D3A33">
        <w:rPr>
          <w:rFonts w:eastAsia="Times New Roman" w:cs="Times New Roman"/>
          <w:b/>
          <w:color w:val="333333"/>
        </w:rPr>
        <w:t>Metacognition</w:t>
      </w:r>
      <w:r w:rsidRPr="008D3A33">
        <w:rPr>
          <w:rFonts w:eastAsia="Times New Roman" w:cs="Times New Roman"/>
          <w:color w:val="333333"/>
        </w:rPr>
        <w:t xml:space="preserve"> – the ability to reflect on one’s own thinking as well as on the individual and cultural processes used to structure knowledge.</w:t>
      </w:r>
    </w:p>
    <w:p w:rsidR="00FD2E4F" w:rsidRPr="008D3A33" w:rsidRDefault="00FD2E4F" w:rsidP="00FD2E4F">
      <w:pPr>
        <w:shd w:val="clear" w:color="auto" w:fill="FFFFFF"/>
        <w:spacing w:before="120" w:after="120" w:line="240" w:lineRule="auto"/>
        <w:rPr>
          <w:rFonts w:eastAsia="Times New Roman" w:cs="Times New Roman"/>
          <w:color w:val="333333"/>
        </w:rPr>
      </w:pPr>
      <w:r w:rsidRPr="008D3A33">
        <w:rPr>
          <w:rFonts w:eastAsia="Times New Roman" w:cs="Times New Roman"/>
          <w:color w:val="333333"/>
        </w:rPr>
        <w:t xml:space="preserve">The Framework then explains how teachers can foster these habits of mind through </w:t>
      </w:r>
      <w:r w:rsidRPr="008D3A33">
        <w:rPr>
          <w:rFonts w:eastAsia="Times New Roman" w:cs="Times New Roman"/>
          <w:b/>
          <w:bCs/>
          <w:color w:val="333333"/>
        </w:rPr>
        <w:t>writing, reading, and critical analysis</w:t>
      </w:r>
      <w:r w:rsidRPr="008D3A33">
        <w:rPr>
          <w:rFonts w:eastAsia="Times New Roman" w:cs="Times New Roman"/>
          <w:color w:val="333333"/>
        </w:rPr>
        <w:t xml:space="preserve"> experiences.  These experiences aim to develop students’</w:t>
      </w:r>
    </w:p>
    <w:p w:rsidR="00FD2E4F" w:rsidRPr="008D3A33" w:rsidRDefault="00FD2E4F" w:rsidP="00FD2E4F">
      <w:pPr>
        <w:pStyle w:val="ListParagraph"/>
        <w:numPr>
          <w:ilvl w:val="0"/>
          <w:numId w:val="4"/>
        </w:numPr>
        <w:shd w:val="clear" w:color="auto" w:fill="FFFFFF"/>
        <w:spacing w:after="120" w:line="240" w:lineRule="auto"/>
        <w:ind w:left="1310"/>
        <w:contextualSpacing w:val="0"/>
        <w:rPr>
          <w:rFonts w:eastAsia="Times New Roman" w:cs="Times New Roman"/>
          <w:color w:val="333333"/>
        </w:rPr>
      </w:pPr>
      <w:r w:rsidRPr="008D3A33">
        <w:rPr>
          <w:rFonts w:eastAsia="Times New Roman" w:cs="Times New Roman"/>
          <w:color w:val="333333"/>
        </w:rPr>
        <w:t>Rhetorical knowledge – the ability to analyze and act on understandings of audiences, purposes, and contexts in creating and comprehending texts;</w:t>
      </w:r>
    </w:p>
    <w:p w:rsidR="00FD2E4F" w:rsidRPr="008D3A33" w:rsidRDefault="00FD2E4F" w:rsidP="00FD2E4F">
      <w:pPr>
        <w:pStyle w:val="ListParagraph"/>
        <w:numPr>
          <w:ilvl w:val="0"/>
          <w:numId w:val="4"/>
        </w:numPr>
        <w:shd w:val="clear" w:color="auto" w:fill="FFFFFF"/>
        <w:spacing w:after="120" w:line="240" w:lineRule="auto"/>
        <w:ind w:left="1310"/>
        <w:contextualSpacing w:val="0"/>
        <w:rPr>
          <w:rFonts w:eastAsia="Times New Roman" w:cs="Times New Roman"/>
          <w:color w:val="333333"/>
        </w:rPr>
      </w:pPr>
      <w:r w:rsidRPr="008D3A33">
        <w:rPr>
          <w:rFonts w:eastAsia="Times New Roman" w:cs="Times New Roman"/>
          <w:color w:val="333333"/>
        </w:rPr>
        <w:t>Critical thinking – the ability to analyze a situation or text and make thoughtful decisions based on that analysis, through writing, reading, and research;</w:t>
      </w:r>
    </w:p>
    <w:p w:rsidR="00FD2E4F" w:rsidRPr="008D3A33" w:rsidRDefault="00FD2E4F" w:rsidP="00FD2E4F">
      <w:pPr>
        <w:pStyle w:val="ListParagraph"/>
        <w:numPr>
          <w:ilvl w:val="0"/>
          <w:numId w:val="4"/>
        </w:numPr>
        <w:shd w:val="clear" w:color="auto" w:fill="FFFFFF"/>
        <w:spacing w:after="120" w:line="240" w:lineRule="auto"/>
        <w:ind w:left="1310"/>
        <w:contextualSpacing w:val="0"/>
        <w:rPr>
          <w:rFonts w:eastAsia="Times New Roman" w:cs="Times New Roman"/>
          <w:color w:val="333333"/>
        </w:rPr>
      </w:pPr>
      <w:r w:rsidRPr="008D3A33">
        <w:rPr>
          <w:rFonts w:eastAsia="Times New Roman" w:cs="Times New Roman"/>
          <w:color w:val="333333"/>
        </w:rPr>
        <w:t>Writing processes – multiple strategies to approach and undertake writing and research;</w:t>
      </w:r>
    </w:p>
    <w:p w:rsidR="00FD2E4F" w:rsidRPr="008D3A33" w:rsidRDefault="00FD2E4F" w:rsidP="00FD2E4F">
      <w:pPr>
        <w:pStyle w:val="ListParagraph"/>
        <w:numPr>
          <w:ilvl w:val="0"/>
          <w:numId w:val="4"/>
        </w:numPr>
        <w:shd w:val="clear" w:color="auto" w:fill="FFFFFF"/>
        <w:spacing w:after="120" w:line="240" w:lineRule="auto"/>
        <w:ind w:left="1310"/>
        <w:contextualSpacing w:val="0"/>
        <w:rPr>
          <w:rFonts w:eastAsia="Times New Roman" w:cs="Times New Roman"/>
          <w:color w:val="333333"/>
        </w:rPr>
      </w:pPr>
      <w:r w:rsidRPr="008D3A33">
        <w:rPr>
          <w:rFonts w:eastAsia="Times New Roman" w:cs="Times New Roman"/>
          <w:color w:val="333333"/>
        </w:rPr>
        <w:t>Knowledge of conventions – the formal and informal guidelines that define what is considered to be correct and appropriate, or incorrect and inappropriate, in a piece of writing; and</w:t>
      </w:r>
    </w:p>
    <w:p w:rsidR="00925DA7" w:rsidRPr="008D3A33" w:rsidRDefault="00FD2E4F" w:rsidP="00FD2E4F">
      <w:pPr>
        <w:pStyle w:val="ListParagraph"/>
        <w:numPr>
          <w:ilvl w:val="0"/>
          <w:numId w:val="4"/>
        </w:numPr>
        <w:shd w:val="clear" w:color="auto" w:fill="FFFFFF"/>
        <w:autoSpaceDE w:val="0"/>
        <w:autoSpaceDN w:val="0"/>
        <w:adjustRightInd w:val="0"/>
        <w:spacing w:after="0" w:line="240" w:lineRule="auto"/>
        <w:ind w:left="1310"/>
        <w:contextualSpacing w:val="0"/>
        <w:rPr>
          <w:rFonts w:eastAsia="Times New Roman" w:cs="Times New Roman"/>
          <w:color w:val="333333"/>
        </w:rPr>
      </w:pPr>
      <w:r w:rsidRPr="008D3A33">
        <w:rPr>
          <w:rFonts w:eastAsia="Times New Roman" w:cs="Times New Roman"/>
          <w:color w:val="333333"/>
        </w:rPr>
        <w:t>Abilities to compose in multiple environments – from using traditional pen and paper to electronic technologies.</w:t>
      </w:r>
    </w:p>
    <w:p w:rsidR="008332C7" w:rsidRPr="008D3A33" w:rsidRDefault="00925DA7" w:rsidP="008332C7">
      <w:pPr>
        <w:pStyle w:val="NormalWeb"/>
        <w:rPr>
          <w:rFonts w:asciiTheme="minorHAnsi" w:hAnsiTheme="minorHAnsi"/>
          <w:b/>
          <w:bCs/>
          <w:i/>
          <w:sz w:val="22"/>
          <w:szCs w:val="22"/>
        </w:rPr>
      </w:pPr>
      <w:r w:rsidRPr="008D3A33">
        <w:rPr>
          <w:rFonts w:asciiTheme="minorHAnsi" w:hAnsiTheme="minorHAnsi"/>
          <w:color w:val="333333"/>
          <w:sz w:val="22"/>
          <w:szCs w:val="22"/>
        </w:rPr>
        <w:br w:type="page"/>
      </w:r>
      <w:r w:rsidR="008332C7" w:rsidRPr="008D3A33">
        <w:rPr>
          <w:rFonts w:asciiTheme="minorHAnsi" w:hAnsiTheme="minorHAnsi"/>
          <w:b/>
          <w:bCs/>
          <w:sz w:val="22"/>
          <w:szCs w:val="22"/>
        </w:rPr>
        <w:lastRenderedPageBreak/>
        <w:t xml:space="preserve">“The RPG Commandments” </w:t>
      </w:r>
      <w:r w:rsidR="008332C7" w:rsidRPr="008D3A33">
        <w:rPr>
          <w:rFonts w:asciiTheme="minorHAnsi" w:hAnsiTheme="minorHAnsi"/>
          <w:bCs/>
          <w:i/>
          <w:sz w:val="22"/>
          <w:szCs w:val="22"/>
        </w:rPr>
        <w:t xml:space="preserve">taken from “Remodeling RPGs for the New Millennium” published in the February 1999 issue of </w:t>
      </w:r>
      <w:r w:rsidR="008332C7" w:rsidRPr="008D3A33">
        <w:rPr>
          <w:rFonts w:asciiTheme="minorHAnsi" w:hAnsiTheme="minorHAnsi"/>
          <w:b/>
          <w:bCs/>
          <w:i/>
          <w:sz w:val="22"/>
          <w:szCs w:val="22"/>
        </w:rPr>
        <w:t>Game Developer</w:t>
      </w:r>
    </w:p>
    <w:p w:rsidR="008332C7" w:rsidRPr="008332C7" w:rsidRDefault="008332C7" w:rsidP="008332C7">
      <w:pPr>
        <w:numPr>
          <w:ilvl w:val="0"/>
          <w:numId w:val="5"/>
        </w:numPr>
        <w:spacing w:before="100" w:beforeAutospacing="1" w:after="240" w:line="240" w:lineRule="auto"/>
        <w:rPr>
          <w:rFonts w:eastAsia="Times New Roman" w:cs="Times New Roman"/>
        </w:rPr>
      </w:pPr>
      <w:r w:rsidRPr="008332C7">
        <w:rPr>
          <w:rFonts w:eastAsia="Times New Roman" w:cs="Times New Roman"/>
          <w:b/>
        </w:rPr>
        <w:t>Each player's path through the story must be unique.</w:t>
      </w:r>
      <w:r w:rsidRPr="008332C7">
        <w:rPr>
          <w:rFonts w:eastAsia="Times New Roman" w:cs="Times New Roman"/>
        </w:rPr>
        <w:t xml:space="preserve"> This -doesn't mean a branching-tree structure with winning and losing paths but, rather, that players will have the freedom to decide how they'll overcome game obstacles. A world simulation must be deep enough so that each game problem is open to a variety of solution strategies, from the most thoughtful and low-key to the most obvious and violent. And the solution you choose to any given problem must have clear consequences, both immediate (killing a guard sets off an alarm, attracting more guards) and long-term (killing a guard may result in "wanted" posters being posted, causing civilians to fear you and be less cooperative). </w:t>
      </w:r>
    </w:p>
    <w:p w:rsidR="008332C7" w:rsidRPr="008332C7" w:rsidRDefault="008332C7" w:rsidP="008332C7">
      <w:pPr>
        <w:numPr>
          <w:ilvl w:val="0"/>
          <w:numId w:val="5"/>
        </w:numPr>
        <w:spacing w:before="100" w:beforeAutospacing="1" w:after="240" w:line="240" w:lineRule="auto"/>
        <w:rPr>
          <w:rFonts w:eastAsia="Times New Roman" w:cs="Times New Roman"/>
        </w:rPr>
      </w:pPr>
      <w:r w:rsidRPr="008332C7">
        <w:rPr>
          <w:rFonts w:eastAsia="Times New Roman" w:cs="Times New Roman"/>
          <w:b/>
        </w:rPr>
        <w:t>Players must always have clear goals</w:t>
      </w:r>
      <w:r w:rsidRPr="008332C7">
        <w:rPr>
          <w:rFonts w:eastAsia="Times New Roman" w:cs="Times New Roman"/>
        </w:rPr>
        <w:t xml:space="preserve">. Though free to stray from the storyline at will, players must know what they're supposed to be doing, minute to minute and, if appropriate, mission to mission. The fun of the game is in overcoming obstacles and solving problems; the fun is in how you solve a problem, not in guessing what problem you're supposed to solve. </w:t>
      </w:r>
    </w:p>
    <w:p w:rsidR="008332C7" w:rsidRPr="008332C7" w:rsidRDefault="008332C7" w:rsidP="008332C7">
      <w:pPr>
        <w:numPr>
          <w:ilvl w:val="0"/>
          <w:numId w:val="5"/>
        </w:numPr>
        <w:spacing w:before="100" w:beforeAutospacing="1" w:after="240" w:line="240" w:lineRule="auto"/>
        <w:rPr>
          <w:rFonts w:eastAsia="Times New Roman" w:cs="Times New Roman"/>
        </w:rPr>
      </w:pPr>
      <w:r w:rsidRPr="008332C7">
        <w:rPr>
          <w:rFonts w:eastAsia="Times New Roman" w:cs="Times New Roman"/>
          <w:b/>
        </w:rPr>
        <w:t>The level of interactivity must be high</w:t>
      </w:r>
      <w:r w:rsidRPr="008332C7">
        <w:rPr>
          <w:rFonts w:eastAsia="Times New Roman" w:cs="Times New Roman"/>
        </w:rPr>
        <w:t xml:space="preserve">, with NPCs about whom you really care and with a densely populated, object-rich world that looks and behaves like the real world (or, at least, a believable, internally consistent world of your own creation). A big, empty world is boring. Players must be free to explore a cool and instantly understandable world. </w:t>
      </w:r>
    </w:p>
    <w:p w:rsidR="008332C7" w:rsidRPr="008332C7" w:rsidRDefault="008332C7" w:rsidP="008332C7">
      <w:pPr>
        <w:numPr>
          <w:ilvl w:val="0"/>
          <w:numId w:val="5"/>
        </w:numPr>
        <w:spacing w:before="100" w:beforeAutospacing="1" w:after="240" w:line="240" w:lineRule="auto"/>
        <w:rPr>
          <w:rFonts w:eastAsia="Times New Roman" w:cs="Times New Roman"/>
        </w:rPr>
      </w:pPr>
      <w:r w:rsidRPr="008332C7">
        <w:rPr>
          <w:rFonts w:eastAsia="Times New Roman" w:cs="Times New Roman"/>
          <w:b/>
        </w:rPr>
        <w:t>The central character must grow and change in ways that matter</w:t>
      </w:r>
      <w:r w:rsidRPr="008332C7">
        <w:rPr>
          <w:rFonts w:eastAsia="Times New Roman" w:cs="Times New Roman"/>
        </w:rPr>
        <w:t xml:space="preserve"> to players in an obvious and personal way. During the course of play, you'll become more powerful, acquire more items, and develop new skills, of course. However, you'll also make unique friends and enemies, accomplish tasks and missions differently, overhear different conversations, and see different events unfold. By game's end, each player must control an alter ego that is distinct from that of all other players. </w:t>
      </w:r>
    </w:p>
    <w:p w:rsidR="008332C7" w:rsidRPr="008332C7" w:rsidRDefault="008332C7" w:rsidP="008332C7">
      <w:pPr>
        <w:numPr>
          <w:ilvl w:val="0"/>
          <w:numId w:val="5"/>
        </w:numPr>
        <w:spacing w:before="100" w:beforeAutospacing="1" w:after="240" w:line="240" w:lineRule="auto"/>
        <w:rPr>
          <w:rFonts w:eastAsia="Times New Roman" w:cs="Times New Roman"/>
        </w:rPr>
      </w:pPr>
      <w:r w:rsidRPr="008332C7">
        <w:rPr>
          <w:rFonts w:eastAsia="Times New Roman" w:cs="Times New Roman"/>
          <w:b/>
        </w:rPr>
        <w:t>The game must be about something more than killing things, solving puzzles, and maxing out a character's statistics</w:t>
      </w:r>
      <w:r w:rsidRPr="008332C7">
        <w:rPr>
          <w:rFonts w:eastAsia="Times New Roman" w:cs="Times New Roman"/>
        </w:rPr>
        <w:t xml:space="preserve">. Remember all those hours you spent in school analyzing the underlying meaning of novels, poems, and movies? Guess what: RPGs lend themselves to the same kind of analysis. Games can and must have an impact on players. That impact may be the simple adrenaline rush of DIABLO, fleeting and soon forgotten (nothing wrong with that), or it may be the never-to-be-forgotten (and, in some cases, life-changing) experience of becoming the Avatar in ULTIMA IV. If all you're doing is throwing wave after wave of monsters at players so that they can kill lots of stuff so that they can increase some arbitrary statistics so that they can feel powerful, you're doing yourself, your players and your medium a disservice. </w:t>
      </w:r>
    </w:p>
    <w:p w:rsidR="008332C7" w:rsidRPr="008332C7" w:rsidRDefault="008332C7" w:rsidP="008332C7">
      <w:pPr>
        <w:spacing w:before="100" w:beforeAutospacing="1" w:after="100" w:afterAutospacing="1" w:line="240" w:lineRule="auto"/>
        <w:rPr>
          <w:rFonts w:eastAsia="Times New Roman" w:cs="Times New Roman"/>
          <w:i/>
        </w:rPr>
      </w:pPr>
      <w:r w:rsidRPr="008332C7">
        <w:rPr>
          <w:rFonts w:eastAsia="Times New Roman" w:cs="Times New Roman"/>
          <w:i/>
        </w:rPr>
        <w:t xml:space="preserve">Warren Spector runs Ion Storm's Austin, Texas, office. He has produced such RPGs as </w:t>
      </w:r>
      <w:proofErr w:type="spellStart"/>
      <w:r w:rsidRPr="008332C7">
        <w:rPr>
          <w:rFonts w:eastAsia="Times New Roman" w:cs="Times New Roman"/>
          <w:i/>
        </w:rPr>
        <w:t>Ultima</w:t>
      </w:r>
      <w:proofErr w:type="spellEnd"/>
      <w:r w:rsidRPr="008332C7">
        <w:rPr>
          <w:rFonts w:eastAsia="Times New Roman" w:cs="Times New Roman"/>
          <w:i/>
        </w:rPr>
        <w:t xml:space="preserve"> VI, </w:t>
      </w:r>
      <w:proofErr w:type="spellStart"/>
      <w:r w:rsidRPr="008332C7">
        <w:rPr>
          <w:rFonts w:eastAsia="Times New Roman" w:cs="Times New Roman"/>
          <w:i/>
        </w:rPr>
        <w:t>Ultima</w:t>
      </w:r>
      <w:proofErr w:type="spellEnd"/>
      <w:r w:rsidRPr="008332C7">
        <w:rPr>
          <w:rFonts w:eastAsia="Times New Roman" w:cs="Times New Roman"/>
          <w:i/>
        </w:rPr>
        <w:t xml:space="preserve"> VII, </w:t>
      </w:r>
      <w:proofErr w:type="gramStart"/>
      <w:r w:rsidRPr="008332C7">
        <w:rPr>
          <w:rFonts w:eastAsia="Times New Roman" w:cs="Times New Roman"/>
          <w:i/>
        </w:rPr>
        <w:t>Part</w:t>
      </w:r>
      <w:proofErr w:type="gramEnd"/>
      <w:r w:rsidRPr="008332C7">
        <w:rPr>
          <w:rFonts w:eastAsia="Times New Roman" w:cs="Times New Roman"/>
          <w:i/>
        </w:rPr>
        <w:t xml:space="preserve"> 2: Serpent Isle, Underworld 1, Underworld 2, System Shock, Dues Ex for Ion Storm and Epic Mickey for Disney Interactive. </w:t>
      </w:r>
    </w:p>
    <w:p w:rsidR="008332C7" w:rsidRPr="008D3A33" w:rsidRDefault="008332C7">
      <w:pPr>
        <w:rPr>
          <w:rFonts w:eastAsia="Times New Roman" w:cs="Times New Roman"/>
          <w:color w:val="333333"/>
        </w:rPr>
      </w:pPr>
      <w:r w:rsidRPr="008D3A33">
        <w:rPr>
          <w:rFonts w:eastAsia="Times New Roman" w:cs="Times New Roman"/>
          <w:color w:val="333333"/>
        </w:rPr>
        <w:br w:type="page"/>
      </w:r>
    </w:p>
    <w:p w:rsidR="00FD2E4F" w:rsidRPr="008D3A33" w:rsidRDefault="008332C7" w:rsidP="00925DA7">
      <w:pPr>
        <w:rPr>
          <w:rFonts w:eastAsia="Times New Roman" w:cs="Times New Roman"/>
          <w:color w:val="333333"/>
        </w:rPr>
      </w:pPr>
      <w:r w:rsidRPr="008D3A33">
        <w:rPr>
          <w:rFonts w:eastAsia="Times New Roman" w:cs="Times New Roman"/>
          <w:color w:val="333333"/>
        </w:rPr>
        <w:lastRenderedPageBreak/>
        <w:t>Suggested Readings</w:t>
      </w:r>
    </w:p>
    <w:p w:rsidR="006D259D" w:rsidRDefault="006D259D" w:rsidP="004A62D6">
      <w:pPr>
        <w:spacing w:after="240" w:line="480" w:lineRule="auto"/>
        <w:ind w:left="720" w:hanging="720"/>
        <w:rPr>
          <w:rFonts w:eastAsia="Times New Roman" w:cs="Times New Roman"/>
          <w:color w:val="333333"/>
        </w:rPr>
      </w:pPr>
      <w:r>
        <w:rPr>
          <w:rFonts w:eastAsia="Times New Roman" w:cs="Times New Roman"/>
          <w:color w:val="333333"/>
        </w:rPr>
        <w:t xml:space="preserve">Bissell, Tom. </w:t>
      </w:r>
      <w:r w:rsidRPr="006D259D">
        <w:rPr>
          <w:rFonts w:eastAsia="Times New Roman" w:cs="Times New Roman"/>
          <w:i/>
          <w:color w:val="333333"/>
        </w:rPr>
        <w:t>Extra Lives: Why Video Games Matter</w:t>
      </w:r>
      <w:r>
        <w:rPr>
          <w:rFonts w:eastAsia="Times New Roman" w:cs="Times New Roman"/>
          <w:color w:val="333333"/>
        </w:rPr>
        <w:t>. New York: Vintage, 2011. Print.</w:t>
      </w:r>
    </w:p>
    <w:p w:rsidR="006D259D" w:rsidRPr="006D259D" w:rsidRDefault="006D259D" w:rsidP="004A62D6">
      <w:pPr>
        <w:spacing w:after="240" w:line="480" w:lineRule="auto"/>
        <w:ind w:left="720" w:hanging="720"/>
        <w:rPr>
          <w:rFonts w:eastAsia="Times New Roman" w:cs="Times New Roman"/>
          <w:color w:val="333333"/>
        </w:rPr>
      </w:pPr>
      <w:proofErr w:type="spellStart"/>
      <w:r>
        <w:rPr>
          <w:rFonts w:eastAsia="Times New Roman" w:cs="Times New Roman"/>
          <w:color w:val="333333"/>
        </w:rPr>
        <w:t>Bogost</w:t>
      </w:r>
      <w:proofErr w:type="spellEnd"/>
      <w:r>
        <w:rPr>
          <w:rFonts w:eastAsia="Times New Roman" w:cs="Times New Roman"/>
          <w:color w:val="333333"/>
        </w:rPr>
        <w:t xml:space="preserve">, Ian. </w:t>
      </w:r>
      <w:r>
        <w:rPr>
          <w:rFonts w:eastAsia="Times New Roman" w:cs="Times New Roman"/>
          <w:i/>
          <w:color w:val="333333"/>
        </w:rPr>
        <w:t xml:space="preserve">Persuasive Games: The Expressive Power of Videogames. </w:t>
      </w:r>
      <w:r>
        <w:rPr>
          <w:rFonts w:eastAsia="Times New Roman" w:cs="Times New Roman"/>
          <w:color w:val="333333"/>
        </w:rPr>
        <w:t>Cambridge, MA: MIT Press, 200</w:t>
      </w:r>
      <w:r>
        <w:rPr>
          <w:rFonts w:eastAsia="Times New Roman" w:cs="Times New Roman"/>
          <w:color w:val="333333"/>
        </w:rPr>
        <w:t>7</w:t>
      </w:r>
      <w:r>
        <w:rPr>
          <w:rFonts w:eastAsia="Times New Roman" w:cs="Times New Roman"/>
          <w:color w:val="333333"/>
        </w:rPr>
        <w:t>. Web (available for digital download)</w:t>
      </w:r>
    </w:p>
    <w:p w:rsidR="006D259D" w:rsidRPr="006D259D" w:rsidRDefault="008D3A33" w:rsidP="004A62D6">
      <w:pPr>
        <w:spacing w:after="240" w:line="480" w:lineRule="auto"/>
        <w:ind w:left="720" w:hanging="720"/>
        <w:rPr>
          <w:rFonts w:cs="Arial"/>
          <w:color w:val="333333"/>
        </w:rPr>
      </w:pPr>
      <w:r>
        <w:rPr>
          <w:rFonts w:eastAsia="Times New Roman" w:cs="Times New Roman"/>
          <w:color w:val="333333"/>
        </w:rPr>
        <w:t>Gee, James Paul.</w:t>
      </w:r>
      <w:r w:rsidR="008332C7" w:rsidRPr="008D3A33">
        <w:rPr>
          <w:rFonts w:eastAsia="Times New Roman" w:cs="Times New Roman"/>
          <w:color w:val="333333"/>
        </w:rPr>
        <w:t xml:space="preserve"> </w:t>
      </w:r>
      <w:r w:rsidR="006D259D">
        <w:rPr>
          <w:rFonts w:eastAsia="Times New Roman" w:cs="Times New Roman"/>
          <w:i/>
          <w:color w:val="333333"/>
        </w:rPr>
        <w:t xml:space="preserve">The Anti-Education Era: Creating Smarter Students </w:t>
      </w:r>
      <w:proofErr w:type="gramStart"/>
      <w:r w:rsidR="006D259D">
        <w:rPr>
          <w:rFonts w:eastAsia="Times New Roman" w:cs="Times New Roman"/>
          <w:i/>
          <w:color w:val="333333"/>
        </w:rPr>
        <w:t>Through</w:t>
      </w:r>
      <w:proofErr w:type="gramEnd"/>
      <w:r w:rsidR="006D259D">
        <w:rPr>
          <w:rFonts w:eastAsia="Times New Roman" w:cs="Times New Roman"/>
          <w:i/>
          <w:color w:val="333333"/>
        </w:rPr>
        <w:t xml:space="preserve"> Digital Learning. </w:t>
      </w:r>
      <w:r w:rsidR="006D259D" w:rsidRPr="008D3A33">
        <w:rPr>
          <w:rStyle w:val="a-size-large1"/>
          <w:rFonts w:asciiTheme="minorHAnsi" w:hAnsiTheme="minorHAnsi"/>
          <w:color w:val="333333"/>
          <w:sz w:val="22"/>
          <w:szCs w:val="22"/>
        </w:rPr>
        <w:t>N</w:t>
      </w:r>
      <w:r w:rsidR="006D259D">
        <w:rPr>
          <w:rStyle w:val="a-size-large1"/>
          <w:rFonts w:asciiTheme="minorHAnsi" w:hAnsiTheme="minorHAnsi"/>
          <w:color w:val="333333"/>
          <w:sz w:val="22"/>
          <w:szCs w:val="22"/>
        </w:rPr>
        <w:t>ew York: Palgrave McMillian, 2013</w:t>
      </w:r>
      <w:r w:rsidR="006D259D" w:rsidRPr="008D3A33">
        <w:rPr>
          <w:rStyle w:val="a-size-large1"/>
          <w:rFonts w:asciiTheme="minorHAnsi" w:hAnsiTheme="minorHAnsi"/>
          <w:color w:val="333333"/>
          <w:sz w:val="22"/>
          <w:szCs w:val="22"/>
        </w:rPr>
        <w:t>. Print.</w:t>
      </w:r>
    </w:p>
    <w:p w:rsidR="008332C7" w:rsidRDefault="006D259D" w:rsidP="004A62D6">
      <w:pPr>
        <w:spacing w:after="240" w:line="480" w:lineRule="auto"/>
        <w:ind w:left="720" w:hanging="720"/>
        <w:rPr>
          <w:rStyle w:val="a-size-large1"/>
          <w:rFonts w:asciiTheme="minorHAnsi" w:hAnsiTheme="minorHAnsi"/>
          <w:color w:val="333333"/>
          <w:sz w:val="22"/>
          <w:szCs w:val="22"/>
        </w:rPr>
      </w:pPr>
      <w:r>
        <w:rPr>
          <w:rFonts w:eastAsia="Times New Roman" w:cs="Times New Roman"/>
          <w:color w:val="333333"/>
        </w:rPr>
        <w:t xml:space="preserve">---. </w:t>
      </w:r>
      <w:r w:rsidR="008332C7" w:rsidRPr="008D3A33">
        <w:rPr>
          <w:rStyle w:val="a-size-large1"/>
          <w:rFonts w:asciiTheme="minorHAnsi" w:hAnsiTheme="minorHAnsi"/>
          <w:i/>
          <w:color w:val="333333"/>
          <w:sz w:val="22"/>
          <w:szCs w:val="22"/>
        </w:rPr>
        <w:t xml:space="preserve">What Video Games Have to Teach Us About Learning and </w:t>
      </w:r>
      <w:proofErr w:type="gramStart"/>
      <w:r w:rsidR="008332C7" w:rsidRPr="008D3A33">
        <w:rPr>
          <w:rStyle w:val="a-size-large1"/>
          <w:rFonts w:asciiTheme="minorHAnsi" w:hAnsiTheme="minorHAnsi"/>
          <w:i/>
          <w:color w:val="333333"/>
          <w:sz w:val="22"/>
          <w:szCs w:val="22"/>
        </w:rPr>
        <w:t>Literacy.</w:t>
      </w:r>
      <w:proofErr w:type="gramEnd"/>
      <w:r w:rsidR="008332C7" w:rsidRPr="008D3A33">
        <w:rPr>
          <w:rStyle w:val="a-size-large1"/>
          <w:rFonts w:asciiTheme="minorHAnsi" w:hAnsiTheme="minorHAnsi"/>
          <w:i/>
          <w:color w:val="333333"/>
          <w:sz w:val="22"/>
          <w:szCs w:val="22"/>
        </w:rPr>
        <w:t xml:space="preserve"> </w:t>
      </w:r>
      <w:proofErr w:type="gramStart"/>
      <w:r w:rsidR="008332C7" w:rsidRPr="008D3A33">
        <w:rPr>
          <w:rStyle w:val="a-size-large1"/>
          <w:rFonts w:asciiTheme="minorHAnsi" w:hAnsiTheme="minorHAnsi"/>
          <w:i/>
          <w:color w:val="333333"/>
          <w:sz w:val="22"/>
          <w:szCs w:val="22"/>
        </w:rPr>
        <w:t>Second Edition</w:t>
      </w:r>
      <w:r w:rsidR="008D3A33" w:rsidRPr="008D3A33">
        <w:rPr>
          <w:rStyle w:val="a-size-large1"/>
          <w:rFonts w:asciiTheme="minorHAnsi" w:hAnsiTheme="minorHAnsi"/>
          <w:i/>
          <w:color w:val="333333"/>
          <w:sz w:val="22"/>
          <w:szCs w:val="22"/>
        </w:rPr>
        <w:t>.</w:t>
      </w:r>
      <w:proofErr w:type="gramEnd"/>
      <w:r w:rsidR="008D3A33" w:rsidRPr="008D3A33">
        <w:rPr>
          <w:rStyle w:val="a-size-large1"/>
          <w:rFonts w:asciiTheme="minorHAnsi" w:hAnsiTheme="minorHAnsi"/>
          <w:color w:val="333333"/>
          <w:sz w:val="22"/>
          <w:szCs w:val="22"/>
        </w:rPr>
        <w:t xml:space="preserve"> New York: Palgrave McMillian, 2007. Print.</w:t>
      </w:r>
    </w:p>
    <w:p w:rsidR="008D3A33" w:rsidRPr="008D3A33" w:rsidRDefault="008D3A33" w:rsidP="004A62D6">
      <w:pPr>
        <w:spacing w:after="240" w:line="480" w:lineRule="auto"/>
        <w:ind w:left="720" w:hanging="720"/>
        <w:rPr>
          <w:rFonts w:eastAsia="Times New Roman" w:cs="Times New Roman"/>
          <w:color w:val="333333"/>
        </w:rPr>
      </w:pPr>
      <w:r>
        <w:rPr>
          <w:rStyle w:val="a-size-large1"/>
          <w:rFonts w:asciiTheme="minorHAnsi" w:hAnsiTheme="minorHAnsi"/>
          <w:color w:val="333333"/>
          <w:sz w:val="22"/>
          <w:szCs w:val="22"/>
        </w:rPr>
        <w:t xml:space="preserve">---. </w:t>
      </w:r>
      <w:r w:rsidRPr="008D3A33">
        <w:rPr>
          <w:rStyle w:val="a-size-large1"/>
          <w:rFonts w:asciiTheme="minorHAnsi" w:hAnsiTheme="minorHAnsi"/>
          <w:i/>
          <w:color w:val="333333"/>
          <w:sz w:val="22"/>
          <w:szCs w:val="22"/>
        </w:rPr>
        <w:t>New Digital Media and Learning as an Emerging Area and “Worked Example” as One Way Forward</w:t>
      </w:r>
      <w:r>
        <w:rPr>
          <w:rStyle w:val="a-size-large1"/>
          <w:rFonts w:asciiTheme="minorHAnsi" w:hAnsiTheme="minorHAnsi"/>
          <w:color w:val="333333"/>
          <w:sz w:val="22"/>
          <w:szCs w:val="22"/>
        </w:rPr>
        <w:t xml:space="preserve">. Cambridge, MA: MIT Press. </w:t>
      </w:r>
      <w:r w:rsidR="006D259D">
        <w:rPr>
          <w:rStyle w:val="a-size-large1"/>
          <w:rFonts w:asciiTheme="minorHAnsi" w:hAnsiTheme="minorHAnsi"/>
          <w:color w:val="333333"/>
          <w:sz w:val="22"/>
          <w:szCs w:val="22"/>
        </w:rPr>
        <w:t xml:space="preserve">2007. </w:t>
      </w:r>
      <w:r>
        <w:rPr>
          <w:rStyle w:val="a-size-large1"/>
          <w:rFonts w:asciiTheme="minorHAnsi" w:hAnsiTheme="minorHAnsi"/>
          <w:color w:val="333333"/>
          <w:sz w:val="22"/>
          <w:szCs w:val="22"/>
        </w:rPr>
        <w:t>Web (available digital download).</w:t>
      </w:r>
    </w:p>
    <w:p w:rsidR="008332C7" w:rsidRDefault="008332C7" w:rsidP="004A62D6">
      <w:pPr>
        <w:spacing w:after="240" w:line="480" w:lineRule="auto"/>
        <w:ind w:left="720" w:hanging="720"/>
        <w:rPr>
          <w:rFonts w:eastAsia="Times New Roman" w:cs="Times New Roman"/>
          <w:color w:val="333333"/>
        </w:rPr>
      </w:pPr>
      <w:r w:rsidRPr="008D3A33">
        <w:rPr>
          <w:rFonts w:eastAsia="Times New Roman" w:cs="Times New Roman"/>
          <w:color w:val="333333"/>
        </w:rPr>
        <w:t xml:space="preserve">Jenkins, Henry. </w:t>
      </w:r>
      <w:proofErr w:type="gramStart"/>
      <w:r w:rsidR="008D3A33">
        <w:rPr>
          <w:rFonts w:eastAsia="Times New Roman" w:cs="Times New Roman"/>
          <w:i/>
          <w:color w:val="333333"/>
        </w:rPr>
        <w:t>Confronting the Challenges of Participatory Culture.</w:t>
      </w:r>
      <w:proofErr w:type="gramEnd"/>
      <w:r w:rsidR="008D3A33">
        <w:rPr>
          <w:rFonts w:eastAsia="Times New Roman" w:cs="Times New Roman"/>
          <w:i/>
          <w:color w:val="333333"/>
        </w:rPr>
        <w:t xml:space="preserve"> </w:t>
      </w:r>
      <w:r w:rsidR="008D3A33">
        <w:rPr>
          <w:rFonts w:eastAsia="Times New Roman" w:cs="Times New Roman"/>
          <w:color w:val="333333"/>
        </w:rPr>
        <w:t xml:space="preserve">Cambridge, MA: MIT Press, 2009. </w:t>
      </w:r>
      <w:proofErr w:type="gramStart"/>
      <w:r w:rsidR="008D3A33">
        <w:rPr>
          <w:rFonts w:eastAsia="Times New Roman" w:cs="Times New Roman"/>
          <w:color w:val="333333"/>
        </w:rPr>
        <w:t>Web (available for digital download)</w:t>
      </w:r>
      <w:r w:rsidR="006D259D">
        <w:rPr>
          <w:rFonts w:eastAsia="Times New Roman" w:cs="Times New Roman"/>
          <w:color w:val="333333"/>
        </w:rPr>
        <w:t>.</w:t>
      </w:r>
      <w:proofErr w:type="gramEnd"/>
    </w:p>
    <w:p w:rsidR="006D259D" w:rsidRDefault="006D259D" w:rsidP="004A62D6">
      <w:pPr>
        <w:spacing w:after="240" w:line="480" w:lineRule="auto"/>
        <w:ind w:left="720" w:hanging="720"/>
        <w:rPr>
          <w:rFonts w:eastAsia="Times New Roman" w:cs="Times New Roman"/>
          <w:color w:val="333333"/>
        </w:rPr>
      </w:pPr>
      <w:proofErr w:type="spellStart"/>
      <w:r>
        <w:rPr>
          <w:rFonts w:eastAsia="Times New Roman" w:cs="Times New Roman"/>
          <w:color w:val="333333"/>
        </w:rPr>
        <w:t>McGonigal</w:t>
      </w:r>
      <w:proofErr w:type="spellEnd"/>
      <w:r>
        <w:rPr>
          <w:rFonts w:eastAsia="Times New Roman" w:cs="Times New Roman"/>
          <w:color w:val="333333"/>
        </w:rPr>
        <w:t xml:space="preserve">, Jane. </w:t>
      </w:r>
      <w:r>
        <w:rPr>
          <w:rFonts w:eastAsia="Times New Roman" w:cs="Times New Roman"/>
          <w:i/>
          <w:color w:val="333333"/>
        </w:rPr>
        <w:t>Reality is Broken: Why Games Make Us Better and how they can Change the World.</w:t>
      </w:r>
      <w:r>
        <w:rPr>
          <w:rFonts w:eastAsia="Times New Roman" w:cs="Times New Roman"/>
          <w:color w:val="333333"/>
        </w:rPr>
        <w:t xml:space="preserve"> New York: Penguin Books, 2011. Print.</w:t>
      </w:r>
    </w:p>
    <w:p w:rsidR="004A62D6" w:rsidRPr="004A62D6" w:rsidRDefault="004A62D6" w:rsidP="004A62D6">
      <w:pPr>
        <w:spacing w:after="0" w:line="480" w:lineRule="auto"/>
        <w:ind w:left="720" w:hanging="720"/>
        <w:rPr>
          <w:rFonts w:eastAsia="Times New Roman" w:cs="Times New Roman"/>
        </w:rPr>
      </w:pPr>
      <w:r w:rsidRPr="004A62D6">
        <w:rPr>
          <w:rFonts w:eastAsia="Times New Roman" w:cs="Times New Roman"/>
        </w:rPr>
        <w:t xml:space="preserve">Murray, Janet H. </w:t>
      </w:r>
      <w:r w:rsidRPr="004A62D6">
        <w:rPr>
          <w:rFonts w:eastAsia="Times New Roman" w:cs="Times New Roman"/>
          <w:i/>
          <w:iCs/>
        </w:rPr>
        <w:t xml:space="preserve">Hamlet on the </w:t>
      </w:r>
      <w:proofErr w:type="spellStart"/>
      <w:r w:rsidRPr="004A62D6">
        <w:rPr>
          <w:rFonts w:eastAsia="Times New Roman" w:cs="Times New Roman"/>
          <w:i/>
          <w:iCs/>
        </w:rPr>
        <w:t>Holodeck</w:t>
      </w:r>
      <w:proofErr w:type="spellEnd"/>
      <w:r w:rsidRPr="004A62D6">
        <w:rPr>
          <w:rFonts w:eastAsia="Times New Roman" w:cs="Times New Roman"/>
          <w:i/>
          <w:iCs/>
        </w:rPr>
        <w:t>: The Future of Narrative in Cyberspace.</w:t>
      </w:r>
      <w:r w:rsidRPr="004A62D6">
        <w:rPr>
          <w:rFonts w:eastAsia="Times New Roman" w:cs="Times New Roman"/>
        </w:rPr>
        <w:t xml:space="preserve"> Cambridge, MA: MIT Press, 1997.</w:t>
      </w:r>
    </w:p>
    <w:p w:rsidR="004A62D6" w:rsidRPr="006D259D" w:rsidRDefault="004A62D6" w:rsidP="008D3A33">
      <w:pPr>
        <w:spacing w:after="240" w:line="240" w:lineRule="auto"/>
        <w:ind w:left="720" w:hanging="720"/>
        <w:rPr>
          <w:rFonts w:eastAsia="Times New Roman" w:cs="Times New Roman"/>
          <w:color w:val="333333"/>
        </w:rPr>
      </w:pPr>
      <w:bookmarkStart w:id="0" w:name="_GoBack"/>
      <w:bookmarkEnd w:id="0"/>
    </w:p>
    <w:sectPr w:rsidR="004A62D6" w:rsidRPr="006D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538"/>
    <w:multiLevelType w:val="hybridMultilevel"/>
    <w:tmpl w:val="0736206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34E90303"/>
    <w:multiLevelType w:val="multilevel"/>
    <w:tmpl w:val="893C6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B4B6641"/>
    <w:multiLevelType w:val="multilevel"/>
    <w:tmpl w:val="42C01906"/>
    <w:lvl w:ilvl="0">
      <w:start w:val="1"/>
      <w:numFmt w:val="bullet"/>
      <w:lvlText w:val="o"/>
      <w:lvlJc w:val="left"/>
      <w:pPr>
        <w:tabs>
          <w:tab w:val="num" w:pos="135"/>
        </w:tabs>
        <w:ind w:left="135" w:hanging="360"/>
      </w:pPr>
      <w:rPr>
        <w:rFonts w:ascii="Courier New" w:hAnsi="Courier New"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o"/>
      <w:lvlJc w:val="left"/>
      <w:pPr>
        <w:tabs>
          <w:tab w:val="num" w:pos="1575"/>
        </w:tabs>
        <w:ind w:left="1575" w:hanging="360"/>
      </w:pPr>
      <w:rPr>
        <w:rFonts w:ascii="Courier New" w:hAnsi="Courier New" w:hint="default"/>
        <w:sz w:val="20"/>
      </w:rPr>
    </w:lvl>
    <w:lvl w:ilvl="3" w:tentative="1">
      <w:start w:val="1"/>
      <w:numFmt w:val="bullet"/>
      <w:lvlText w:val="o"/>
      <w:lvlJc w:val="left"/>
      <w:pPr>
        <w:tabs>
          <w:tab w:val="num" w:pos="2295"/>
        </w:tabs>
        <w:ind w:left="2295" w:hanging="360"/>
      </w:pPr>
      <w:rPr>
        <w:rFonts w:ascii="Courier New" w:hAnsi="Courier New" w:hint="default"/>
        <w:sz w:val="20"/>
      </w:rPr>
    </w:lvl>
    <w:lvl w:ilvl="4" w:tentative="1">
      <w:start w:val="1"/>
      <w:numFmt w:val="bullet"/>
      <w:lvlText w:val="o"/>
      <w:lvlJc w:val="left"/>
      <w:pPr>
        <w:tabs>
          <w:tab w:val="num" w:pos="3015"/>
        </w:tabs>
        <w:ind w:left="3015" w:hanging="360"/>
      </w:pPr>
      <w:rPr>
        <w:rFonts w:ascii="Courier New" w:hAnsi="Courier New" w:hint="default"/>
        <w:sz w:val="20"/>
      </w:rPr>
    </w:lvl>
    <w:lvl w:ilvl="5" w:tentative="1">
      <w:start w:val="1"/>
      <w:numFmt w:val="bullet"/>
      <w:lvlText w:val="o"/>
      <w:lvlJc w:val="left"/>
      <w:pPr>
        <w:tabs>
          <w:tab w:val="num" w:pos="3735"/>
        </w:tabs>
        <w:ind w:left="3735" w:hanging="360"/>
      </w:pPr>
      <w:rPr>
        <w:rFonts w:ascii="Courier New" w:hAnsi="Courier New" w:hint="default"/>
        <w:sz w:val="20"/>
      </w:rPr>
    </w:lvl>
    <w:lvl w:ilvl="6" w:tentative="1">
      <w:start w:val="1"/>
      <w:numFmt w:val="bullet"/>
      <w:lvlText w:val="o"/>
      <w:lvlJc w:val="left"/>
      <w:pPr>
        <w:tabs>
          <w:tab w:val="num" w:pos="4455"/>
        </w:tabs>
        <w:ind w:left="4455" w:hanging="360"/>
      </w:pPr>
      <w:rPr>
        <w:rFonts w:ascii="Courier New" w:hAnsi="Courier New" w:hint="default"/>
        <w:sz w:val="20"/>
      </w:rPr>
    </w:lvl>
    <w:lvl w:ilvl="7" w:tentative="1">
      <w:start w:val="1"/>
      <w:numFmt w:val="bullet"/>
      <w:lvlText w:val="o"/>
      <w:lvlJc w:val="left"/>
      <w:pPr>
        <w:tabs>
          <w:tab w:val="num" w:pos="5175"/>
        </w:tabs>
        <w:ind w:left="5175" w:hanging="360"/>
      </w:pPr>
      <w:rPr>
        <w:rFonts w:ascii="Courier New" w:hAnsi="Courier New" w:hint="default"/>
        <w:sz w:val="20"/>
      </w:rPr>
    </w:lvl>
    <w:lvl w:ilvl="8" w:tentative="1">
      <w:start w:val="1"/>
      <w:numFmt w:val="bullet"/>
      <w:lvlText w:val="o"/>
      <w:lvlJc w:val="left"/>
      <w:pPr>
        <w:tabs>
          <w:tab w:val="num" w:pos="5895"/>
        </w:tabs>
        <w:ind w:left="5895" w:hanging="360"/>
      </w:pPr>
      <w:rPr>
        <w:rFonts w:ascii="Courier New" w:hAnsi="Courier New" w:hint="default"/>
        <w:sz w:val="20"/>
      </w:rPr>
    </w:lvl>
  </w:abstractNum>
  <w:abstractNum w:abstractNumId="3">
    <w:nsid w:val="50B16250"/>
    <w:multiLevelType w:val="multilevel"/>
    <w:tmpl w:val="DDE8C0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57E0555"/>
    <w:multiLevelType w:val="hybridMultilevel"/>
    <w:tmpl w:val="708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4F"/>
    <w:rsid w:val="001D7475"/>
    <w:rsid w:val="001E16DF"/>
    <w:rsid w:val="004A62D6"/>
    <w:rsid w:val="006D259D"/>
    <w:rsid w:val="008332C7"/>
    <w:rsid w:val="008D3A33"/>
    <w:rsid w:val="00925DA7"/>
    <w:rsid w:val="00FD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4F"/>
    <w:pPr>
      <w:ind w:left="720"/>
      <w:contextualSpacing/>
    </w:pPr>
  </w:style>
  <w:style w:type="paragraph" w:styleId="NormalWeb">
    <w:name w:val="Normal (Web)"/>
    <w:basedOn w:val="Normal"/>
    <w:uiPriority w:val="99"/>
    <w:unhideWhenUsed/>
    <w:rsid w:val="001D7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475"/>
    <w:rPr>
      <w:color w:val="0000FF"/>
      <w:u w:val="single"/>
    </w:rPr>
  </w:style>
  <w:style w:type="character" w:customStyle="1" w:styleId="a-size-large1">
    <w:name w:val="a-size-large1"/>
    <w:basedOn w:val="DefaultParagraphFont"/>
    <w:rsid w:val="008332C7"/>
    <w:rPr>
      <w:rFonts w:ascii="Arial" w:hAnsi="Arial" w:cs="Arial" w:hint="default"/>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4F"/>
    <w:pPr>
      <w:ind w:left="720"/>
      <w:contextualSpacing/>
    </w:pPr>
  </w:style>
  <w:style w:type="paragraph" w:styleId="NormalWeb">
    <w:name w:val="Normal (Web)"/>
    <w:basedOn w:val="Normal"/>
    <w:uiPriority w:val="99"/>
    <w:unhideWhenUsed/>
    <w:rsid w:val="001D7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475"/>
    <w:rPr>
      <w:color w:val="0000FF"/>
      <w:u w:val="single"/>
    </w:rPr>
  </w:style>
  <w:style w:type="character" w:customStyle="1" w:styleId="a-size-large1">
    <w:name w:val="a-size-large1"/>
    <w:basedOn w:val="DefaultParagraphFont"/>
    <w:rsid w:val="008332C7"/>
    <w:rPr>
      <w:rFonts w:ascii="Arial" w:hAnsi="Arial" w:cs="Arial"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1213">
      <w:bodyDiv w:val="1"/>
      <w:marLeft w:val="0"/>
      <w:marRight w:val="0"/>
      <w:marTop w:val="0"/>
      <w:marBottom w:val="0"/>
      <w:divBdr>
        <w:top w:val="none" w:sz="0" w:space="0" w:color="auto"/>
        <w:left w:val="none" w:sz="0" w:space="0" w:color="auto"/>
        <w:bottom w:val="none" w:sz="0" w:space="0" w:color="auto"/>
        <w:right w:val="none" w:sz="0" w:space="0" w:color="auto"/>
      </w:divBdr>
      <w:divsChild>
        <w:div w:id="205408299">
          <w:marLeft w:val="0"/>
          <w:marRight w:val="0"/>
          <w:marTop w:val="0"/>
          <w:marBottom w:val="0"/>
          <w:divBdr>
            <w:top w:val="none" w:sz="0" w:space="0" w:color="auto"/>
            <w:left w:val="none" w:sz="0" w:space="0" w:color="auto"/>
            <w:bottom w:val="none" w:sz="0" w:space="0" w:color="auto"/>
            <w:right w:val="none" w:sz="0" w:space="0" w:color="auto"/>
          </w:divBdr>
          <w:divsChild>
            <w:div w:id="518470343">
              <w:marLeft w:val="0"/>
              <w:marRight w:val="0"/>
              <w:marTop w:val="0"/>
              <w:marBottom w:val="0"/>
              <w:divBdr>
                <w:top w:val="none" w:sz="0" w:space="0" w:color="auto"/>
                <w:left w:val="none" w:sz="0" w:space="0" w:color="auto"/>
                <w:bottom w:val="none" w:sz="0" w:space="0" w:color="auto"/>
                <w:right w:val="none" w:sz="0" w:space="0" w:color="auto"/>
              </w:divBdr>
              <w:divsChild>
                <w:div w:id="625309175">
                  <w:marLeft w:val="0"/>
                  <w:marRight w:val="0"/>
                  <w:marTop w:val="0"/>
                  <w:marBottom w:val="0"/>
                  <w:divBdr>
                    <w:top w:val="none" w:sz="0" w:space="0" w:color="auto"/>
                    <w:left w:val="none" w:sz="0" w:space="0" w:color="auto"/>
                    <w:bottom w:val="none" w:sz="0" w:space="0" w:color="auto"/>
                    <w:right w:val="none" w:sz="0" w:space="0" w:color="auto"/>
                  </w:divBdr>
                  <w:divsChild>
                    <w:div w:id="315651681">
                      <w:marLeft w:val="0"/>
                      <w:marRight w:val="0"/>
                      <w:marTop w:val="0"/>
                      <w:marBottom w:val="0"/>
                      <w:divBdr>
                        <w:top w:val="none" w:sz="0" w:space="0" w:color="auto"/>
                        <w:left w:val="none" w:sz="0" w:space="0" w:color="auto"/>
                        <w:bottom w:val="none" w:sz="0" w:space="0" w:color="auto"/>
                        <w:right w:val="none" w:sz="0" w:space="0" w:color="auto"/>
                      </w:divBdr>
                      <w:divsChild>
                        <w:div w:id="4745507">
                          <w:marLeft w:val="0"/>
                          <w:marRight w:val="0"/>
                          <w:marTop w:val="0"/>
                          <w:marBottom w:val="0"/>
                          <w:divBdr>
                            <w:top w:val="none" w:sz="0" w:space="0" w:color="auto"/>
                            <w:left w:val="none" w:sz="0" w:space="0" w:color="auto"/>
                            <w:bottom w:val="none" w:sz="0" w:space="0" w:color="auto"/>
                            <w:right w:val="none" w:sz="0" w:space="0" w:color="auto"/>
                          </w:divBdr>
                          <w:divsChild>
                            <w:div w:id="986785147">
                              <w:marLeft w:val="0"/>
                              <w:marRight w:val="0"/>
                              <w:marTop w:val="0"/>
                              <w:marBottom w:val="0"/>
                              <w:divBdr>
                                <w:top w:val="none" w:sz="0" w:space="0" w:color="auto"/>
                                <w:left w:val="none" w:sz="0" w:space="0" w:color="auto"/>
                                <w:bottom w:val="none" w:sz="0" w:space="0" w:color="auto"/>
                                <w:right w:val="none" w:sz="0" w:space="0" w:color="auto"/>
                              </w:divBdr>
                              <w:divsChild>
                                <w:div w:id="748619244">
                                  <w:marLeft w:val="0"/>
                                  <w:marRight w:val="0"/>
                                  <w:marTop w:val="0"/>
                                  <w:marBottom w:val="0"/>
                                  <w:divBdr>
                                    <w:top w:val="none" w:sz="0" w:space="0" w:color="auto"/>
                                    <w:left w:val="none" w:sz="0" w:space="0" w:color="auto"/>
                                    <w:bottom w:val="none" w:sz="0" w:space="0" w:color="auto"/>
                                    <w:right w:val="none" w:sz="0" w:space="0" w:color="auto"/>
                                  </w:divBdr>
                                  <w:divsChild>
                                    <w:div w:id="851455100">
                                      <w:marLeft w:val="0"/>
                                      <w:marRight w:val="0"/>
                                      <w:marTop w:val="0"/>
                                      <w:marBottom w:val="0"/>
                                      <w:divBdr>
                                        <w:top w:val="none" w:sz="0" w:space="0" w:color="auto"/>
                                        <w:left w:val="none" w:sz="0" w:space="0" w:color="auto"/>
                                        <w:bottom w:val="none" w:sz="0" w:space="0" w:color="auto"/>
                                        <w:right w:val="none" w:sz="0" w:space="0" w:color="auto"/>
                                      </w:divBdr>
                                      <w:divsChild>
                                        <w:div w:id="789589820">
                                          <w:marLeft w:val="225"/>
                                          <w:marRight w:val="225"/>
                                          <w:marTop w:val="225"/>
                                          <w:marBottom w:val="225"/>
                                          <w:divBdr>
                                            <w:top w:val="none" w:sz="0" w:space="0" w:color="auto"/>
                                            <w:left w:val="none" w:sz="0" w:space="0" w:color="auto"/>
                                            <w:bottom w:val="none" w:sz="0" w:space="0" w:color="auto"/>
                                            <w:right w:val="none" w:sz="0" w:space="0" w:color="auto"/>
                                          </w:divBdr>
                                          <w:divsChild>
                                            <w:div w:id="1449079302">
                                              <w:marLeft w:val="0"/>
                                              <w:marRight w:val="0"/>
                                              <w:marTop w:val="120"/>
                                              <w:marBottom w:val="480"/>
                                              <w:divBdr>
                                                <w:top w:val="none" w:sz="0" w:space="0" w:color="auto"/>
                                                <w:left w:val="none" w:sz="0" w:space="0" w:color="auto"/>
                                                <w:bottom w:val="none" w:sz="0" w:space="0" w:color="auto"/>
                                                <w:right w:val="none" w:sz="0" w:space="0" w:color="auto"/>
                                              </w:divBdr>
                                              <w:divsChild>
                                                <w:div w:id="64481567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619474">
      <w:bodyDiv w:val="1"/>
      <w:marLeft w:val="0"/>
      <w:marRight w:val="0"/>
      <w:marTop w:val="0"/>
      <w:marBottom w:val="0"/>
      <w:divBdr>
        <w:top w:val="none" w:sz="0" w:space="0" w:color="auto"/>
        <w:left w:val="none" w:sz="0" w:space="0" w:color="auto"/>
        <w:bottom w:val="none" w:sz="0" w:space="0" w:color="auto"/>
        <w:right w:val="none" w:sz="0" w:space="0" w:color="auto"/>
      </w:divBdr>
    </w:div>
    <w:div w:id="11664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stumail.jccc.edu/frameworkgamifi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ocsadmin</cp:lastModifiedBy>
  <cp:revision>2</cp:revision>
  <dcterms:created xsi:type="dcterms:W3CDTF">2014-03-10T02:48:00Z</dcterms:created>
  <dcterms:modified xsi:type="dcterms:W3CDTF">2014-03-17T20:39:00Z</dcterms:modified>
</cp:coreProperties>
</file>